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254C" w14:textId="77777777" w:rsidR="00634976" w:rsidRDefault="00634976">
      <w:pPr>
        <w:ind w:left="0" w:hanging="2"/>
      </w:pPr>
    </w:p>
    <w:p w14:paraId="1D29A7EF" w14:textId="77777777" w:rsidR="00634976" w:rsidRDefault="00634976">
      <w:pPr>
        <w:ind w:left="0" w:hanging="2"/>
      </w:pPr>
    </w:p>
    <w:p w14:paraId="621C2EB3" w14:textId="77777777" w:rsidR="00634976" w:rsidRDefault="00000000">
      <w:pPr>
        <w:spacing w:line="360" w:lineRule="auto"/>
        <w:ind w:left="0" w:hanging="2"/>
        <w:jc w:val="center"/>
        <w:rPr>
          <w:rFonts w:ascii="Arial" w:eastAsia="Arial" w:hAnsi="Arial" w:cs="Arial"/>
          <w:b w:val="0"/>
          <w:vertAlign w:val="baseline"/>
        </w:rPr>
      </w:pPr>
      <w:r>
        <w:rPr>
          <w:rFonts w:ascii="Arial" w:eastAsia="Arial" w:hAnsi="Arial" w:cs="Arial"/>
          <w:vertAlign w:val="baseline"/>
        </w:rPr>
        <w:t>TÍTULO DO TRABALHO: subtítulo do trabalho</w:t>
      </w:r>
    </w:p>
    <w:p w14:paraId="6E386FAD" w14:textId="77777777" w:rsidR="00634976" w:rsidRDefault="00000000">
      <w:pPr>
        <w:spacing w:line="360" w:lineRule="auto"/>
        <w:ind w:left="0" w:hanging="2"/>
        <w:jc w:val="right"/>
        <w:rPr>
          <w:rFonts w:ascii="Arial" w:eastAsia="Arial" w:hAnsi="Arial" w:cs="Arial"/>
          <w:b w:val="0"/>
          <w:vertAlign w:val="baseline"/>
        </w:rPr>
      </w:pPr>
      <w:r>
        <w:rPr>
          <w:rFonts w:ascii="Arial" w:eastAsia="Arial" w:hAnsi="Arial" w:cs="Arial"/>
          <w:b w:val="0"/>
          <w:vertAlign w:val="baseline"/>
        </w:rPr>
        <w:t>Primeiro autor</w:t>
      </w:r>
      <w:r>
        <w:rPr>
          <w:rFonts w:ascii="Arial" w:eastAsia="Arial" w:hAnsi="Arial" w:cs="Arial"/>
          <w:b w:val="0"/>
          <w:vertAlign w:val="superscript"/>
        </w:rPr>
        <w:footnoteReference w:id="1"/>
      </w:r>
    </w:p>
    <w:p w14:paraId="06213A36" w14:textId="77777777" w:rsidR="00634976" w:rsidRDefault="00000000">
      <w:pPr>
        <w:spacing w:line="360" w:lineRule="auto"/>
        <w:ind w:left="0" w:hanging="2"/>
        <w:jc w:val="right"/>
        <w:rPr>
          <w:rFonts w:ascii="Arial" w:eastAsia="Arial" w:hAnsi="Arial" w:cs="Arial"/>
          <w:b w:val="0"/>
          <w:vertAlign w:val="baseline"/>
        </w:rPr>
      </w:pPr>
      <w:r>
        <w:rPr>
          <w:rFonts w:ascii="Arial" w:eastAsia="Arial" w:hAnsi="Arial" w:cs="Arial"/>
          <w:b w:val="0"/>
          <w:vertAlign w:val="baseline"/>
        </w:rPr>
        <w:t>Segundo autor</w:t>
      </w:r>
      <w:r>
        <w:rPr>
          <w:rFonts w:ascii="Arial" w:eastAsia="Arial" w:hAnsi="Arial" w:cs="Arial"/>
          <w:b w:val="0"/>
          <w:vertAlign w:val="superscript"/>
        </w:rPr>
        <w:footnoteReference w:id="2"/>
      </w:r>
    </w:p>
    <w:p w14:paraId="43C2CE8F" w14:textId="77777777" w:rsidR="00634976" w:rsidRDefault="00000000">
      <w:pPr>
        <w:spacing w:line="360" w:lineRule="auto"/>
        <w:ind w:left="0" w:hanging="2"/>
        <w:jc w:val="right"/>
        <w:rPr>
          <w:rFonts w:ascii="Arial" w:eastAsia="Arial" w:hAnsi="Arial" w:cs="Arial"/>
          <w:b w:val="0"/>
          <w:vertAlign w:val="baseline"/>
        </w:rPr>
      </w:pPr>
      <w:r>
        <w:rPr>
          <w:rFonts w:ascii="Arial" w:eastAsia="Arial" w:hAnsi="Arial" w:cs="Arial"/>
          <w:b w:val="0"/>
          <w:vertAlign w:val="baseline"/>
        </w:rPr>
        <w:t>Máximo três autores</w:t>
      </w:r>
      <w:r>
        <w:rPr>
          <w:rFonts w:ascii="Arial" w:eastAsia="Arial" w:hAnsi="Arial" w:cs="Arial"/>
          <w:b w:val="0"/>
          <w:vertAlign w:val="superscript"/>
        </w:rPr>
        <w:footnoteReference w:id="3"/>
      </w:r>
    </w:p>
    <w:p w14:paraId="237B0C7B" w14:textId="77777777" w:rsidR="00634976" w:rsidRDefault="00634976">
      <w:pPr>
        <w:spacing w:line="360" w:lineRule="auto"/>
        <w:ind w:left="0" w:hanging="2"/>
        <w:jc w:val="center"/>
        <w:rPr>
          <w:rFonts w:ascii="Arial" w:eastAsia="Arial" w:hAnsi="Arial" w:cs="Arial"/>
          <w:b w:val="0"/>
          <w:color w:val="111111"/>
          <w:vertAlign w:val="baseline"/>
        </w:rPr>
      </w:pPr>
    </w:p>
    <w:p w14:paraId="429A9DEE" w14:textId="77777777" w:rsidR="00634976" w:rsidRDefault="00634976">
      <w:pPr>
        <w:spacing w:line="360" w:lineRule="auto"/>
        <w:ind w:left="0" w:hanging="2"/>
        <w:jc w:val="center"/>
        <w:rPr>
          <w:rFonts w:ascii="Arial" w:eastAsia="Arial" w:hAnsi="Arial" w:cs="Arial"/>
          <w:b w:val="0"/>
          <w:color w:val="111111"/>
          <w:vertAlign w:val="baseline"/>
        </w:rPr>
      </w:pPr>
    </w:p>
    <w:p w14:paraId="40A985BC" w14:textId="77777777" w:rsidR="00634976" w:rsidRDefault="00000000">
      <w:pPr>
        <w:spacing w:line="360" w:lineRule="auto"/>
        <w:ind w:left="0" w:hanging="2"/>
        <w:jc w:val="center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RESUMO</w:t>
      </w:r>
    </w:p>
    <w:p w14:paraId="427C41B5" w14:textId="77777777" w:rsidR="00634976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Os autores que desejarem apresentar PROJETOS DE PESQUISA no SNHM, deverão submeter um resumo desta proposta de pesquisa. Os trabalhos desta modalidade serão apresentados exclusivamente em pôster. A palavra </w:t>
      </w:r>
      <w:r>
        <w:rPr>
          <w:rFonts w:ascii="Arial" w:eastAsia="Arial" w:hAnsi="Arial" w:cs="Arial"/>
          <w:sz w:val="22"/>
          <w:szCs w:val="22"/>
          <w:vertAlign w:val="baseline"/>
        </w:rPr>
        <w:t>RESUMO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 ser escrita em fonte Arial, tamanho 11, em negrito e maiúscula, espaçamento simples e centralizada. O resumo do projeto de pesquisa deve ser escrito em fonte Arial, tamanho 11, espaçamento simples, justificado, parágrafo único, sem recuo de parágrafo, contendo de 1000 a 2300 caracteres com espaço. No </w:t>
      </w:r>
      <w:r>
        <w:rPr>
          <w:rFonts w:ascii="Arial" w:eastAsia="Arial" w:hAnsi="Arial" w:cs="Arial"/>
          <w:sz w:val="22"/>
          <w:szCs w:val="22"/>
          <w:vertAlign w:val="baseline"/>
        </w:rPr>
        <w:t>RESUMO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devem constar de forma sintética e clara o objetivo da investigação (ou problema de pesquisa), a metodologia a ser empregada ou materiais ou fontes históricas a serem consultadas e as contribuições para o desenvolvimento do conhecimento científico referente à História da Matemática. Poderão, a critério dos autores, serem incluídas referências (como indicado posteriormente). Deverão ser apresentadas </w:t>
      </w:r>
      <w:r>
        <w:rPr>
          <w:rFonts w:ascii="Arial" w:eastAsia="Arial" w:hAnsi="Arial" w:cs="Arial"/>
          <w:sz w:val="22"/>
          <w:szCs w:val="22"/>
          <w:vertAlign w:val="baseline"/>
        </w:rPr>
        <w:t>palavras-chave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do trabalho imediatamente após o resumo. A proposta deverá ser submetida para a avaliação, por meio da plataforma específica (indicada no sítio eletrônico do evento). No ato da submissão deverão ser indicados um dos eixos temáticos do evento e uma das modalidades de apresentação de trabalho. Todos os autores devem estar inscritos no evento para a submissão do trabalho. Fica limitado a </w:t>
      </w:r>
      <w:r>
        <w:rPr>
          <w:rFonts w:ascii="Arial" w:eastAsia="Arial" w:hAnsi="Arial" w:cs="Arial"/>
          <w:sz w:val="22"/>
          <w:szCs w:val="22"/>
          <w:vertAlign w:val="baseline"/>
        </w:rPr>
        <w:t>3 (três) autores por trabalho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a </w:t>
      </w:r>
      <w:r>
        <w:rPr>
          <w:rFonts w:ascii="Arial" w:eastAsia="Arial" w:hAnsi="Arial" w:cs="Arial"/>
          <w:sz w:val="22"/>
          <w:szCs w:val="22"/>
          <w:vertAlign w:val="baseline"/>
        </w:rPr>
        <w:t>3 (três) trabalhos por autor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independente da modalidade. A versão a ser enviada para avaliação deve ser </w:t>
      </w:r>
      <w:r>
        <w:rPr>
          <w:rFonts w:ascii="Arial" w:eastAsia="Arial" w:hAnsi="Arial" w:cs="Arial"/>
          <w:sz w:val="22"/>
          <w:szCs w:val="22"/>
          <w:vertAlign w:val="baseline"/>
        </w:rPr>
        <w:t>sem a identificação dos autores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esta será avaliada por pareceristas indicados pelos membros da Comissão Científica, seguindo os critérios: (a) adequação a este modelo; (b) pertinência do tema com a proposta do evento e o eixo temático indicado; (c) Utilização da linguagem culta; (d) qualidade da apresentação do problema/objetivo do trabalho e das contribuições para o desenvolvimento do conhecimento científico referente à História da Matemática. Os pareceristas poderão indicar: (a) aprovação; (b) reprovação ou (c) aprovação com alterações (neste caso, os autores poderão realizar correções para uma nova avaliação). O resultado da avaliação dos trabalhos submetidos poderá ser acompanhado pela plataforma indicada no sítio eletrônico do evento e após a aprovação os autores devem enviar, pela plataforma, a versão com a identificação e dados dos autores. Os resumos dos projetos de pesquisa </w:t>
      </w:r>
      <w:r>
        <w:rPr>
          <w:rFonts w:ascii="Arial" w:eastAsia="Arial" w:hAnsi="Arial" w:cs="Arial"/>
          <w:sz w:val="22"/>
          <w:szCs w:val="22"/>
          <w:vertAlign w:val="baseline"/>
        </w:rPr>
        <w:t xml:space="preserve">aprovados e apresentados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no evento serão publicados nos ANAIS do XV SNHM que serão publicados após a realização do evento. </w:t>
      </w:r>
    </w:p>
    <w:p w14:paraId="33F19060" w14:textId="77777777" w:rsidR="00634976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Palavras-chave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: Palavra um. Palavra dois. Palavra três. Palavra quatro. Mínimo 3 e máximo de cinco palavras-chave.</w:t>
      </w:r>
    </w:p>
    <w:p w14:paraId="553C81A0" w14:textId="77777777" w:rsidR="00634976" w:rsidRDefault="00634976">
      <w:pPr>
        <w:spacing w:line="240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</w:p>
    <w:p w14:paraId="0D45AD4C" w14:textId="77777777" w:rsidR="00634976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REFERÊNCIAS</w:t>
      </w:r>
    </w:p>
    <w:p w14:paraId="4515EBBD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</w:pP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[Item </w:t>
      </w:r>
      <w:r>
        <w:rPr>
          <w:rFonts w:ascii="Arial" w:eastAsia="Arial" w:hAnsi="Arial" w:cs="Arial"/>
          <w:color w:val="000000"/>
          <w:sz w:val="20"/>
          <w:szCs w:val="20"/>
          <w:vertAlign w:val="baseline"/>
        </w:rPr>
        <w:t>opcional</w:t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, deve incluir até cinco das principais referências do trabalho. Em caso de aprovação e apresentação do trabalho, as referências não serão publicadas nos anais, elas serão, somente, consideradas para a avaliação do trabalho. Caso os autores incluam estas referências, elas devem ser digitadas com espaçamento simples, alinhadas à esquerda e separadas uma das outras por um espaço simples. Seguir norma da ABNT 6023:2018]. </w:t>
      </w:r>
    </w:p>
    <w:p w14:paraId="75019529" w14:textId="77777777" w:rsidR="00634976" w:rsidRDefault="00634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</w:p>
    <w:p w14:paraId="58C44E7D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ARAMAN, E. M. de O. </w:t>
      </w:r>
      <w:r>
        <w:rPr>
          <w:rFonts w:ascii="Arial" w:eastAsia="Arial" w:hAnsi="Arial" w:cs="Arial"/>
          <w:color w:val="000000"/>
          <w:sz w:val="22"/>
          <w:szCs w:val="22"/>
          <w:vertAlign w:val="baseline"/>
        </w:rPr>
        <w:t>Contribuições da História da Matemática para a construção dos saberes do professor de Matemática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. 2011. 238f.Tese (Doutorado em Ensino de Ciências e Educação Matemática) -Universidade Estadual de Londrina, Londrina, 2011.</w:t>
      </w:r>
    </w:p>
    <w:p w14:paraId="7E03F057" w14:textId="77777777" w:rsidR="00634976" w:rsidRDefault="00634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</w:p>
    <w:p w14:paraId="78283F20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BARONI, R. S.; TEIXEIRA, M. V.; NOBRE, S. R. A investigação científica em história da matemática e suas relações com o programa de pós-graduação em educação matemática. </w:t>
      </w:r>
      <w:r>
        <w:rPr>
          <w:rFonts w:ascii="Arial" w:eastAsia="Arial" w:hAnsi="Arial" w:cs="Arial"/>
          <w:b w:val="0"/>
          <w:i/>
          <w:color w:val="000000"/>
          <w:sz w:val="22"/>
          <w:szCs w:val="22"/>
          <w:vertAlign w:val="baseline"/>
        </w:rPr>
        <w:t xml:space="preserve">In: 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BORBA, M. de C.; BICUDO, M. A. V. </w:t>
      </w:r>
      <w:r>
        <w:rPr>
          <w:rFonts w:ascii="Arial" w:eastAsia="Arial" w:hAnsi="Arial" w:cs="Arial"/>
          <w:color w:val="000000"/>
          <w:sz w:val="22"/>
          <w:szCs w:val="22"/>
          <w:vertAlign w:val="baseline"/>
        </w:rPr>
        <w:t>Educação Matemática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: pesquisa em movimento. Cortez, 2012. p.179-202. </w:t>
      </w:r>
    </w:p>
    <w:p w14:paraId="3B0AA2D7" w14:textId="77777777" w:rsidR="00634976" w:rsidRDefault="00634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</w:p>
    <w:p w14:paraId="2215E175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BICUDO, I.; VAZ, D. A. de F. Matemática e filosofia: dos gregos até Descartes. </w:t>
      </w:r>
      <w:r>
        <w:rPr>
          <w:rFonts w:ascii="Arial" w:eastAsia="Arial" w:hAnsi="Arial" w:cs="Arial"/>
          <w:color w:val="000000"/>
          <w:sz w:val="22"/>
          <w:szCs w:val="22"/>
          <w:vertAlign w:val="baseline"/>
        </w:rPr>
        <w:t>Revista Brasileira de História da Matemática</w:t>
      </w:r>
      <w:r>
        <w:rPr>
          <w:rFonts w:ascii="Arial" w:eastAsia="Arial" w:hAnsi="Arial" w:cs="Arial"/>
          <w:b w:val="0"/>
          <w:i/>
          <w:color w:val="000000"/>
          <w:sz w:val="22"/>
          <w:szCs w:val="22"/>
          <w:vertAlign w:val="baseline"/>
        </w:rPr>
        <w:t xml:space="preserve">: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an</w:t>
      </w:r>
      <w:proofErr w:type="spellEnd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international</w:t>
      </w:r>
      <w:proofErr w:type="spellEnd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Journal</w:t>
      </w:r>
      <w:proofErr w:type="spellEnd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on</w:t>
      </w:r>
      <w:proofErr w:type="spellEnd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the</w:t>
      </w:r>
      <w:proofErr w:type="spellEnd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History</w:t>
      </w:r>
      <w:proofErr w:type="spellEnd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of</w:t>
      </w:r>
      <w:proofErr w:type="spellEnd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Mathematics</w:t>
      </w:r>
      <w:proofErr w:type="spellEnd"/>
      <w:r>
        <w:rPr>
          <w:rFonts w:ascii="Arial" w:eastAsia="Arial" w:hAnsi="Arial" w:cs="Arial"/>
          <w:b w:val="0"/>
          <w:i/>
          <w:color w:val="000000"/>
          <w:sz w:val="22"/>
          <w:szCs w:val="22"/>
          <w:vertAlign w:val="baseline"/>
        </w:rPr>
        <w:t>,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[s. l.], v. 17, n. 34, p. 1-18, 2017. Disponível em:  </w:t>
      </w:r>
      <w:hyperlink r:id="rId7">
        <w:r>
          <w:rPr>
            <w:rFonts w:ascii="Arial" w:eastAsia="Arial" w:hAnsi="Arial" w:cs="Arial"/>
            <w:b w:val="0"/>
            <w:color w:val="0563C1"/>
            <w:sz w:val="22"/>
            <w:szCs w:val="22"/>
            <w:u w:val="single"/>
            <w:vertAlign w:val="baseline"/>
          </w:rPr>
          <w:t>https://www.rbhm.org.br/index.php/RBHM/article/view/30</w:t>
        </w:r>
      </w:hyperlink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. Acesso em: 6 abr. 2021.</w:t>
      </w:r>
    </w:p>
    <w:p w14:paraId="3C7706B1" w14:textId="77777777" w:rsidR="00634976" w:rsidRDefault="00634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</w:p>
    <w:p w14:paraId="3D488F30" w14:textId="77777777" w:rsidR="00634976" w:rsidRDefault="00000000">
      <w:pPr>
        <w:spacing w:line="240" w:lineRule="auto"/>
        <w:ind w:left="0" w:hanging="2"/>
        <w:rPr>
          <w:rFonts w:ascii="Arial" w:eastAsia="Arial" w:hAnsi="Arial" w:cs="Arial"/>
          <w:b w:val="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sz w:val="22"/>
          <w:szCs w:val="22"/>
          <w:highlight w:val="white"/>
          <w:vertAlign w:val="baseline"/>
        </w:rPr>
        <w:t xml:space="preserve">BONFIM, S. H. A História da Matemática em disciplinas dos cursos de formação inicial de professores de matemática das universidades federais localizadas na região centro-oeste do Brasil. </w:t>
      </w:r>
      <w:r>
        <w:rPr>
          <w:rFonts w:ascii="Arial" w:eastAsia="Arial" w:hAnsi="Arial" w:cs="Arial"/>
          <w:b w:val="0"/>
          <w:i/>
          <w:sz w:val="22"/>
          <w:szCs w:val="22"/>
          <w:vertAlign w:val="baseline"/>
        </w:rPr>
        <w:t>In.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SEMINÁRIO NACIONAL DE HISTÓRIA DA MATEMÁTICA, 14, 2021, Uberaba.</w:t>
      </w:r>
      <w:r>
        <w:rPr>
          <w:rFonts w:ascii="Arial" w:eastAsia="Arial" w:hAnsi="Arial" w:cs="Arial"/>
          <w:sz w:val="22"/>
          <w:szCs w:val="22"/>
          <w:vertAlign w:val="baseline"/>
        </w:rPr>
        <w:t xml:space="preserve"> Anais [...].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Uberaba: </w:t>
      </w:r>
      <w:proofErr w:type="spellStart"/>
      <w:r>
        <w:rPr>
          <w:rFonts w:ascii="Arial" w:eastAsia="Arial" w:hAnsi="Arial" w:cs="Arial"/>
          <w:b w:val="0"/>
          <w:sz w:val="22"/>
          <w:szCs w:val="22"/>
          <w:vertAlign w:val="baseline"/>
        </w:rPr>
        <w:t>SBHMat</w:t>
      </w:r>
      <w:proofErr w:type="spellEnd"/>
      <w:r>
        <w:rPr>
          <w:rFonts w:ascii="Arial" w:eastAsia="Arial" w:hAnsi="Arial" w:cs="Arial"/>
          <w:b w:val="0"/>
          <w:sz w:val="22"/>
          <w:szCs w:val="22"/>
          <w:vertAlign w:val="baseline"/>
        </w:rPr>
        <w:t>, 2021.</w:t>
      </w:r>
    </w:p>
    <w:p w14:paraId="23AA0AF1" w14:textId="77777777" w:rsidR="00634976" w:rsidRDefault="00634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</w:p>
    <w:p w14:paraId="4D72859C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CAVALARI, M. F.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;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MORAES, S. R. A. de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;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CALÁBRIA, A. R.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>;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 BONFIM, S. H. História da Matemática na formação de professores: Um mapeamento em cursos ofertados por Universidades Federais brasileiras. </w:t>
      </w:r>
      <w:r>
        <w:rPr>
          <w:rFonts w:ascii="Arial" w:eastAsia="Arial" w:hAnsi="Arial" w:cs="Arial"/>
          <w:color w:val="000000"/>
          <w:sz w:val="22"/>
          <w:szCs w:val="22"/>
          <w:vertAlign w:val="baseline"/>
        </w:rPr>
        <w:t>Revista de História da Educação Matemática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, [s. l.], v. 8, p. 1-24, 2022. Disponível em: </w:t>
      </w:r>
      <w:hyperlink r:id="rId8">
        <w:r>
          <w:rPr>
            <w:rFonts w:ascii="Arial" w:eastAsia="Arial" w:hAnsi="Arial" w:cs="Arial"/>
            <w:b w:val="0"/>
            <w:color w:val="0563C1"/>
            <w:sz w:val="22"/>
            <w:szCs w:val="22"/>
            <w:u w:val="single"/>
            <w:vertAlign w:val="baseline"/>
          </w:rPr>
          <w:t>http://histemat.com.br/index.php/HISTEMAT/article/view/500</w:t>
        </w:r>
      </w:hyperlink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. Acesso em: 5 jul. 2022. </w:t>
      </w:r>
    </w:p>
    <w:p w14:paraId="3D7C8524" w14:textId="77777777" w:rsidR="00634976" w:rsidRDefault="00634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</w:p>
    <w:p w14:paraId="6D0C9D41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MENDES, I. A.; FOSSA, J. A.; VALDÉS, J. E. N. </w:t>
      </w:r>
      <w:r>
        <w:rPr>
          <w:rFonts w:ascii="Arial" w:eastAsia="Arial" w:hAnsi="Arial" w:cs="Arial"/>
          <w:color w:val="000000"/>
          <w:sz w:val="22"/>
          <w:szCs w:val="22"/>
          <w:vertAlign w:val="baseline"/>
        </w:rPr>
        <w:t>A história como um agente de cognição na Educação Matemática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. Porto Alegre: Sulina, 2006.</w:t>
      </w:r>
    </w:p>
    <w:p w14:paraId="17F9A507" w14:textId="77777777" w:rsidR="00634976" w:rsidRDefault="00634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</w:p>
    <w:p w14:paraId="5F3CABEC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SOUSA, G. C. de; NASCIMENTO, A. K. S. do. Implicações pedagógicas na investigação histórica do estudo das geometrias não euclidianas, uma discussão sobre triângulos. </w:t>
      </w:r>
      <w:r>
        <w:rPr>
          <w:rFonts w:ascii="Arial" w:eastAsia="Arial" w:hAnsi="Arial" w:cs="Arial"/>
          <w:color w:val="000000"/>
          <w:sz w:val="22"/>
          <w:szCs w:val="22"/>
          <w:vertAlign w:val="baseline"/>
        </w:rPr>
        <w:t>Revista História da Matemática para Professores,</w:t>
      </w:r>
      <w:r>
        <w:rPr>
          <w:rFonts w:ascii="Arial" w:eastAsia="Arial" w:hAnsi="Arial" w:cs="Arial"/>
          <w:b w:val="0"/>
          <w:i/>
          <w:color w:val="000000"/>
          <w:sz w:val="22"/>
          <w:szCs w:val="22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 xml:space="preserve">[s. l.], v. 8, n. 1, p. 1–11, 2022. Disponível em: </w:t>
      </w:r>
      <w:hyperlink r:id="rId9">
        <w:r>
          <w:rPr>
            <w:rFonts w:ascii="Arial" w:eastAsia="Arial" w:hAnsi="Arial" w:cs="Arial"/>
            <w:b w:val="0"/>
            <w:color w:val="0563C1"/>
            <w:sz w:val="22"/>
            <w:szCs w:val="22"/>
            <w:u w:val="single"/>
            <w:vertAlign w:val="baseline"/>
          </w:rPr>
          <w:t>https://rhmp.com.br/index.php/RHMP/article/view/78</w:t>
        </w:r>
      </w:hyperlink>
      <w:r>
        <w:rPr>
          <w:rFonts w:ascii="Arial" w:eastAsia="Arial" w:hAnsi="Arial" w:cs="Arial"/>
          <w:b w:val="0"/>
          <w:color w:val="000000"/>
          <w:sz w:val="22"/>
          <w:szCs w:val="22"/>
          <w:vertAlign w:val="baseline"/>
        </w:rPr>
        <w:t>. Acesso em: 5 jul. 2022.</w:t>
      </w:r>
    </w:p>
    <w:p w14:paraId="359C6749" w14:textId="77777777" w:rsidR="00634976" w:rsidRDefault="00634976">
      <w:pPr>
        <w:spacing w:line="360" w:lineRule="auto"/>
        <w:ind w:left="0" w:hanging="2"/>
        <w:rPr>
          <w:rFonts w:ascii="Arial" w:eastAsia="Arial" w:hAnsi="Arial" w:cs="Arial"/>
          <w:b w:val="0"/>
          <w:vertAlign w:val="baseline"/>
        </w:rPr>
      </w:pPr>
    </w:p>
    <w:p w14:paraId="4C331A3C" w14:textId="77777777" w:rsidR="00634976" w:rsidRDefault="00634976">
      <w:pPr>
        <w:spacing w:line="360" w:lineRule="auto"/>
        <w:ind w:left="0" w:hanging="2"/>
        <w:rPr>
          <w:rFonts w:ascii="Arial" w:eastAsia="Arial" w:hAnsi="Arial" w:cs="Arial"/>
          <w:b w:val="0"/>
          <w:vertAlign w:val="baseline"/>
        </w:rPr>
      </w:pPr>
    </w:p>
    <w:sectPr w:rsidR="006349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D33D" w14:textId="77777777" w:rsidR="00F52FF1" w:rsidRDefault="00F52FF1">
      <w:pPr>
        <w:spacing w:line="240" w:lineRule="auto"/>
        <w:ind w:left="0" w:hanging="2"/>
      </w:pPr>
      <w:r>
        <w:separator/>
      </w:r>
    </w:p>
  </w:endnote>
  <w:endnote w:type="continuationSeparator" w:id="0">
    <w:p w14:paraId="04A3794B" w14:textId="77777777" w:rsidR="00F52FF1" w:rsidRDefault="00F52F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BB42" w14:textId="77777777" w:rsidR="00634976" w:rsidRDefault="00634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305" w14:textId="77777777" w:rsidR="00634976" w:rsidRDefault="00634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0D2" w14:textId="77777777" w:rsidR="00634976" w:rsidRDefault="00634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6952" w14:textId="77777777" w:rsidR="00F52FF1" w:rsidRDefault="00F52FF1">
      <w:pPr>
        <w:spacing w:line="240" w:lineRule="auto"/>
        <w:ind w:left="0" w:hanging="2"/>
      </w:pPr>
      <w:r>
        <w:separator/>
      </w:r>
    </w:p>
  </w:footnote>
  <w:footnote w:type="continuationSeparator" w:id="0">
    <w:p w14:paraId="3CFD82E2" w14:textId="77777777" w:rsidR="00F52FF1" w:rsidRDefault="00F52FF1">
      <w:pPr>
        <w:spacing w:line="240" w:lineRule="auto"/>
        <w:ind w:left="0" w:hanging="2"/>
      </w:pPr>
      <w:r>
        <w:continuationSeparator/>
      </w:r>
    </w:p>
  </w:footnote>
  <w:footnote w:id="1">
    <w:p w14:paraId="0626BC62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Graduando(a)/mestrando(a)/doutorando(a)/docente da Instituição (SIGLA). E-mail do autor 1.</w:t>
      </w:r>
    </w:p>
  </w:footnote>
  <w:footnote w:id="2">
    <w:p w14:paraId="1715A87D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Graduando(a)/mestrando(a)/doutorando(a)/docente da Instituição (SIGLA).  E-mail do autor 2.</w:t>
      </w:r>
    </w:p>
  </w:footnote>
  <w:footnote w:id="3">
    <w:p w14:paraId="34ED6F52" w14:textId="77777777" w:rsidR="006349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Graduando(a)/mestrando(a)/doutorando(a)/docente da Instituição (SIGLA). E-mail do autor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B5DE" w14:textId="77777777" w:rsidR="00634976" w:rsidRDefault="00634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E0F4" w14:textId="77777777" w:rsidR="00634976" w:rsidRDefault="006349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b w:val="0"/>
        <w:color w:val="000000"/>
        <w:sz w:val="18"/>
        <w:szCs w:val="18"/>
        <w:vertAlign w:val="baseline"/>
      </w:rPr>
    </w:pPr>
  </w:p>
  <w:tbl>
    <w:tblPr>
      <w:tblStyle w:val="a"/>
      <w:tblW w:w="850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91"/>
      <w:gridCol w:w="4624"/>
      <w:gridCol w:w="2089"/>
    </w:tblGrid>
    <w:tr w:rsidR="00634976" w14:paraId="151B633E" w14:textId="77777777">
      <w:tc>
        <w:tcPr>
          <w:tcW w:w="1791" w:type="dxa"/>
        </w:tcPr>
        <w:p w14:paraId="6F48B439" w14:textId="77777777" w:rsidR="006349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Calibri" w:eastAsia="Calibri" w:hAnsi="Calibri" w:cs="Calibri"/>
              <w:b w:val="0"/>
              <w:color w:val="000000"/>
              <w:sz w:val="22"/>
              <w:szCs w:val="22"/>
              <w:vertAlign w:val="baseline"/>
            </w:rPr>
          </w:pPr>
          <w:r>
            <w:rPr>
              <w:rFonts w:ascii="Calibri" w:eastAsia="Calibri" w:hAnsi="Calibri" w:cs="Calibri"/>
              <w:b w:val="0"/>
              <w:noProof/>
              <w:color w:val="000000"/>
              <w:sz w:val="22"/>
              <w:szCs w:val="22"/>
              <w:vertAlign w:val="baseline"/>
            </w:rPr>
            <w:drawing>
              <wp:inline distT="0" distB="0" distL="0" distR="0" wp14:anchorId="25B62D30" wp14:editId="58F053CB">
                <wp:extent cx="1039689" cy="694919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689" cy="6949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4" w:type="dxa"/>
          <w:shd w:val="clear" w:color="auto" w:fill="auto"/>
        </w:tcPr>
        <w:p w14:paraId="5336E8C4" w14:textId="77777777" w:rsidR="006349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0"/>
              <w:tab w:val="center" w:pos="2325"/>
            </w:tabs>
            <w:spacing w:line="240" w:lineRule="auto"/>
            <w:ind w:left="1" w:hanging="3"/>
            <w:rPr>
              <w:rFonts w:ascii="Calibri" w:eastAsia="Calibri" w:hAnsi="Calibri" w:cs="Calibri"/>
              <w:color w:val="002060"/>
              <w:sz w:val="26"/>
              <w:szCs w:val="26"/>
              <w:vertAlign w:val="baseline"/>
            </w:rPr>
          </w:pPr>
          <w:r>
            <w:rPr>
              <w:rFonts w:ascii="Calibri" w:eastAsia="Calibri" w:hAnsi="Calibri" w:cs="Calibri"/>
              <w:color w:val="767171"/>
              <w:sz w:val="26"/>
              <w:szCs w:val="26"/>
              <w:vertAlign w:val="baseline"/>
            </w:rPr>
            <w:tab/>
          </w:r>
          <w:r>
            <w:rPr>
              <w:rFonts w:ascii="Calibri" w:eastAsia="Calibri" w:hAnsi="Calibri" w:cs="Calibri"/>
              <w:color w:val="767171"/>
              <w:sz w:val="26"/>
              <w:szCs w:val="26"/>
              <w:vertAlign w:val="baseline"/>
            </w:rPr>
            <w:tab/>
          </w:r>
          <w:r>
            <w:rPr>
              <w:rFonts w:ascii="Calibri" w:eastAsia="Calibri" w:hAnsi="Calibri" w:cs="Calibri"/>
              <w:color w:val="002060"/>
              <w:sz w:val="26"/>
              <w:szCs w:val="26"/>
              <w:vertAlign w:val="baseline"/>
            </w:rPr>
            <w:t>XV SNHM</w:t>
          </w:r>
        </w:p>
        <w:p w14:paraId="7C8C7CFE" w14:textId="77777777" w:rsidR="006349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2060"/>
              <w:sz w:val="22"/>
              <w:szCs w:val="22"/>
              <w:vertAlign w:val="baseline"/>
            </w:rPr>
          </w:pPr>
          <w:r>
            <w:rPr>
              <w:rFonts w:ascii="Calibri" w:eastAsia="Calibri" w:hAnsi="Calibri" w:cs="Calibri"/>
              <w:color w:val="002060"/>
              <w:sz w:val="22"/>
              <w:szCs w:val="22"/>
              <w:vertAlign w:val="baseline"/>
            </w:rPr>
            <w:t>Seminário Nacional de História da Matemática</w:t>
          </w:r>
        </w:p>
        <w:p w14:paraId="34A41BA7" w14:textId="77777777" w:rsidR="006349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B0F0"/>
              <w:sz w:val="20"/>
              <w:szCs w:val="20"/>
              <w:vertAlign w:val="baseline"/>
            </w:rPr>
          </w:pPr>
          <w:r>
            <w:rPr>
              <w:rFonts w:ascii="Calibri" w:eastAsia="Calibri" w:hAnsi="Calibri" w:cs="Calibri"/>
              <w:color w:val="00B0F0"/>
              <w:sz w:val="20"/>
              <w:szCs w:val="20"/>
              <w:vertAlign w:val="baseline"/>
            </w:rPr>
            <w:t>Abril de 2023</w:t>
          </w:r>
        </w:p>
        <w:p w14:paraId="16C5A76B" w14:textId="77777777" w:rsidR="006349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 w:val="0"/>
              <w:color w:val="00B0F0"/>
              <w:sz w:val="22"/>
              <w:szCs w:val="22"/>
              <w:vertAlign w:val="baseline"/>
            </w:rPr>
          </w:pPr>
          <w:r>
            <w:rPr>
              <w:rFonts w:ascii="Calibri" w:eastAsia="Calibri" w:hAnsi="Calibri" w:cs="Calibri"/>
              <w:color w:val="00B0F0"/>
              <w:sz w:val="20"/>
              <w:szCs w:val="20"/>
              <w:vertAlign w:val="baseline"/>
            </w:rPr>
            <w:t>Maceió - AL</w:t>
          </w:r>
        </w:p>
      </w:tc>
      <w:tc>
        <w:tcPr>
          <w:tcW w:w="2089" w:type="dxa"/>
        </w:tcPr>
        <w:p w14:paraId="37B46DDE" w14:textId="77777777" w:rsidR="00634976" w:rsidRDefault="006349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Calibri" w:eastAsia="Calibri" w:hAnsi="Calibri" w:cs="Calibri"/>
              <w:b w:val="0"/>
              <w:color w:val="000000"/>
              <w:sz w:val="22"/>
              <w:szCs w:val="22"/>
              <w:vertAlign w:val="baseline"/>
            </w:rPr>
          </w:pPr>
        </w:p>
        <w:p w14:paraId="1FE7A7C1" w14:textId="77777777" w:rsidR="0063497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Calibri" w:eastAsia="Calibri" w:hAnsi="Calibri" w:cs="Calibri"/>
              <w:b w:val="0"/>
              <w:color w:val="000000"/>
              <w:sz w:val="22"/>
              <w:szCs w:val="22"/>
              <w:vertAlign w:val="baseline"/>
            </w:rPr>
          </w:pPr>
          <w:r>
            <w:rPr>
              <w:rFonts w:ascii="Calibri" w:eastAsia="Calibri" w:hAnsi="Calibri" w:cs="Calibri"/>
              <w:b w:val="0"/>
              <w:noProof/>
              <w:color w:val="000000"/>
              <w:sz w:val="22"/>
              <w:szCs w:val="22"/>
              <w:vertAlign w:val="baseline"/>
            </w:rPr>
            <w:drawing>
              <wp:inline distT="0" distB="0" distL="0" distR="0" wp14:anchorId="16CB65EB" wp14:editId="1411B3AD">
                <wp:extent cx="1234367" cy="427449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367" cy="4274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6BB09FA" w14:textId="77777777" w:rsidR="00634976" w:rsidRDefault="00634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207E" w14:textId="77777777" w:rsidR="00634976" w:rsidRDefault="006349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76"/>
    <w:rsid w:val="00634976"/>
    <w:rsid w:val="00E96C2C"/>
    <w:rsid w:val="00F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418E"/>
  <w15:docId w15:val="{63076833-6949-4ED2-87E9-AB2BF0F9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vertAlign w:val="subscript"/>
        <w:lang w:val="pt-BR" w:eastAsia="pt-BR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C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D360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 w:val="0"/>
      <w:position w:val="0"/>
      <w:sz w:val="22"/>
      <w:szCs w:val="22"/>
      <w:vertAlign w:val="baseline"/>
    </w:rPr>
  </w:style>
  <w:style w:type="character" w:customStyle="1" w:styleId="CabealhoChar">
    <w:name w:val="Cabeçalho Char"/>
    <w:basedOn w:val="Fontepargpadro"/>
    <w:link w:val="Cabealho"/>
    <w:uiPriority w:val="99"/>
    <w:rsid w:val="001D3606"/>
  </w:style>
  <w:style w:type="paragraph" w:styleId="Rodap">
    <w:name w:val="footer"/>
    <w:basedOn w:val="Normal"/>
    <w:link w:val="RodapChar"/>
    <w:uiPriority w:val="99"/>
    <w:unhideWhenUsed/>
    <w:rsid w:val="001D360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 w:val="0"/>
      <w:position w:val="0"/>
      <w:sz w:val="22"/>
      <w:szCs w:val="22"/>
      <w:vertAlign w:val="baseline"/>
    </w:rPr>
  </w:style>
  <w:style w:type="character" w:customStyle="1" w:styleId="RodapChar">
    <w:name w:val="Rodapé Char"/>
    <w:basedOn w:val="Fontepargpadro"/>
    <w:link w:val="Rodap"/>
    <w:uiPriority w:val="99"/>
    <w:rsid w:val="001D3606"/>
  </w:style>
  <w:style w:type="paragraph" w:styleId="TextosemFormatao">
    <w:name w:val="Plain Text"/>
    <w:basedOn w:val="Normal"/>
    <w:link w:val="TextosemFormataoChar"/>
    <w:uiPriority w:val="99"/>
    <w:unhideWhenUsed/>
    <w:rsid w:val="006929F6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nsolas" w:eastAsiaTheme="minorHAnsi" w:hAnsi="Consolas" w:cs="Consolas"/>
      <w:b w:val="0"/>
      <w:position w:val="0"/>
      <w:sz w:val="21"/>
      <w:szCs w:val="21"/>
      <w:vertAlign w:val="baseli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29F6"/>
    <w:rPr>
      <w:rFonts w:ascii="Consolas" w:hAnsi="Consolas" w:cs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E2D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2D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12FCA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b w:val="0"/>
      <w:position w:val="0"/>
      <w:sz w:val="22"/>
      <w:szCs w:val="22"/>
      <w:vertAlign w:val="baseline"/>
    </w:rPr>
  </w:style>
  <w:style w:type="paragraph" w:styleId="NormalWeb">
    <w:name w:val="Normal (Web)"/>
    <w:basedOn w:val="Normal"/>
    <w:uiPriority w:val="99"/>
    <w:unhideWhenUsed/>
    <w:rsid w:val="00412FC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</w:rPr>
  </w:style>
  <w:style w:type="character" w:customStyle="1" w:styleId="markedcontent">
    <w:name w:val="markedcontent"/>
    <w:basedOn w:val="Fontepargpadro"/>
    <w:rsid w:val="000D253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98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98D"/>
    <w:rPr>
      <w:rFonts w:ascii="Times New Roman" w:eastAsia="Times New Roman" w:hAnsi="Times New Roman" w:cs="Times New Roman"/>
      <w:b/>
      <w:position w:val="-1"/>
      <w:sz w:val="20"/>
      <w:szCs w:val="20"/>
      <w:vertAlign w:val="subscript"/>
    </w:rPr>
  </w:style>
  <w:style w:type="character" w:styleId="Refdenotaderodap">
    <w:name w:val="footnote reference"/>
    <w:basedOn w:val="Fontepargpadro"/>
    <w:uiPriority w:val="99"/>
    <w:semiHidden/>
    <w:unhideWhenUsed/>
    <w:rsid w:val="00BE098D"/>
    <w:rPr>
      <w:vertAlign w:val="superscript"/>
    </w:rPr>
  </w:style>
  <w:style w:type="table" w:styleId="Tabelacomgrade">
    <w:name w:val="Table Grid"/>
    <w:basedOn w:val="Tabelanormal"/>
    <w:uiPriority w:val="59"/>
    <w:rsid w:val="002729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4ke">
    <w:name w:val="cdt4ke"/>
    <w:basedOn w:val="Normal"/>
    <w:rsid w:val="007010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</w:rPr>
  </w:style>
  <w:style w:type="character" w:styleId="nfase">
    <w:name w:val="Emphasis"/>
    <w:basedOn w:val="Fontepargpadro"/>
    <w:uiPriority w:val="20"/>
    <w:qFormat/>
    <w:rsid w:val="007010A8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87F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7F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7F39"/>
    <w:rPr>
      <w:rFonts w:ascii="Times New Roman" w:eastAsia="Times New Roman" w:hAnsi="Times New Roman" w:cs="Times New Roman"/>
      <w:b/>
      <w:position w:val="-1"/>
      <w:sz w:val="20"/>
      <w:szCs w:val="20"/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7F39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7F39"/>
    <w:rPr>
      <w:rFonts w:ascii="Times New Roman" w:eastAsia="Times New Roman" w:hAnsi="Times New Roman" w:cs="Times New Roman"/>
      <w:b/>
      <w:bCs/>
      <w:position w:val="-1"/>
      <w:sz w:val="20"/>
      <w:szCs w:val="20"/>
      <w:vertAlign w:val="sub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emat.com.br/index.php/HISTEMAT/article/view/5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bhm.org.br/index.php/RBHM/article/view/3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hmp.com.br/index.php/RHMP/article/view/7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fGgh0JbFABfkshqQxXthhFdVfw==">AMUW2mU80atLiQrchcIArnmggyHwgr3Ud4ukRB57X7JtVedY0h1u3AH9cnFHSwouqHvJCT4arCWX9MfKiXDcFZ95bsL5S4l/ViQfh3SREu/B/i4vojn6Kk8=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Cavalari</dc:creator>
  <cp:lastModifiedBy>a</cp:lastModifiedBy>
  <cp:revision>2</cp:revision>
  <dcterms:created xsi:type="dcterms:W3CDTF">2023-01-23T22:00:00Z</dcterms:created>
  <dcterms:modified xsi:type="dcterms:W3CDTF">2023-01-23T22:00:00Z</dcterms:modified>
</cp:coreProperties>
</file>